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507826" w:rsidRDefault="00C13822" w:rsidP="00C13822">
      <w:pPr>
        <w:spacing w:before="360" w:after="120"/>
        <w:ind w:left="425"/>
        <w:jc w:val="center"/>
        <w:rPr>
          <w:rFonts w:ascii="Times New Roman" w:eastAsia="Calibri" w:hAnsi="Times New Roman"/>
          <w:b/>
          <w:caps/>
          <w:noProof w:val="0"/>
          <w:szCs w:val="24"/>
        </w:rPr>
      </w:pPr>
      <w:r w:rsidRPr="00507826">
        <w:rPr>
          <w:rFonts w:ascii="Times New Roman" w:eastAsia="Calibri" w:hAnsi="Times New Roman"/>
          <w:b/>
          <w:caps/>
          <w:noProof w:val="0"/>
          <w:szCs w:val="24"/>
        </w:rPr>
        <w:t>ОБОСНОВАНИЕ начальной (максимальной) цены договора</w:t>
      </w:r>
      <w:r w:rsidRPr="00507826">
        <w:rPr>
          <w:rFonts w:ascii="Times New Roman" w:eastAsia="Calibri" w:hAnsi="Times New Roman"/>
          <w:noProof w:val="0"/>
          <w:szCs w:val="24"/>
        </w:rPr>
        <w:t xml:space="preserve"> / </w:t>
      </w:r>
      <w:r w:rsidRPr="00507826">
        <w:rPr>
          <w:rFonts w:ascii="Times New Roman" w:eastAsia="Calibri" w:hAnsi="Times New Roman"/>
          <w:b/>
          <w:caps/>
          <w:noProof w:val="0"/>
          <w:szCs w:val="24"/>
        </w:rPr>
        <w:t>цены единицы товара, работы, услуги</w:t>
      </w:r>
    </w:p>
    <w:p w:rsidR="00C13822" w:rsidRPr="00507826" w:rsidRDefault="00C13822" w:rsidP="00C13822">
      <w:pPr>
        <w:numPr>
          <w:ilvl w:val="0"/>
          <w:numId w:val="7"/>
        </w:numPr>
        <w:spacing w:before="120" w:after="120" w:line="360" w:lineRule="exact"/>
        <w:ind w:left="714" w:hanging="357"/>
        <w:jc w:val="both"/>
        <w:rPr>
          <w:rFonts w:ascii="Times New Roman" w:eastAsia="Calibri" w:hAnsi="Times New Roman"/>
          <w:b/>
          <w:noProof w:val="0"/>
          <w:szCs w:val="24"/>
        </w:rPr>
      </w:pPr>
      <w:r w:rsidRPr="00507826">
        <w:rPr>
          <w:rFonts w:ascii="Times New Roman" w:eastAsia="Calibri" w:hAnsi="Times New Roman"/>
          <w:b/>
          <w:noProof w:val="0"/>
          <w:szCs w:val="24"/>
        </w:rPr>
        <w:t>Общая информация</w:t>
      </w:r>
    </w:p>
    <w:tbl>
      <w:tblPr>
        <w:tblStyle w:val="1"/>
        <w:tblW w:w="10235" w:type="dxa"/>
        <w:tblInd w:w="-34" w:type="dxa"/>
        <w:tblLook w:val="04A0" w:firstRow="1" w:lastRow="0" w:firstColumn="1" w:lastColumn="0" w:noHBand="0" w:noVBand="1"/>
      </w:tblPr>
      <w:tblGrid>
        <w:gridCol w:w="880"/>
        <w:gridCol w:w="2126"/>
        <w:gridCol w:w="7229"/>
      </w:tblGrid>
      <w:tr w:rsidR="00C13822" w:rsidRPr="00507826" w:rsidTr="005E6E97">
        <w:tc>
          <w:tcPr>
            <w:tcW w:w="880" w:type="dxa"/>
          </w:tcPr>
          <w:p w:rsidR="00C13822" w:rsidRPr="00507826" w:rsidRDefault="00C13822" w:rsidP="00C13822">
            <w:pPr>
              <w:spacing w:before="120" w:line="360" w:lineRule="exact"/>
              <w:contextualSpacing/>
              <w:rPr>
                <w:rFonts w:ascii="Times New Roman" w:eastAsia="Calibri" w:hAnsi="Times New Roman"/>
                <w:b/>
                <w:noProof w:val="0"/>
                <w:szCs w:val="24"/>
              </w:rPr>
            </w:pPr>
            <w:r w:rsidRPr="00507826">
              <w:rPr>
                <w:rFonts w:ascii="Times New Roman" w:eastAsia="Calibri" w:hAnsi="Times New Roman"/>
                <w:b/>
                <w:noProof w:val="0"/>
                <w:szCs w:val="24"/>
              </w:rPr>
              <w:t>№ п/п</w:t>
            </w:r>
          </w:p>
        </w:tc>
        <w:tc>
          <w:tcPr>
            <w:tcW w:w="2126" w:type="dxa"/>
          </w:tcPr>
          <w:p w:rsidR="00C13822" w:rsidRPr="00507826" w:rsidRDefault="00C13822" w:rsidP="00C13822">
            <w:pPr>
              <w:spacing w:before="120" w:line="360" w:lineRule="exact"/>
              <w:contextualSpacing/>
              <w:rPr>
                <w:rFonts w:ascii="Times New Roman" w:eastAsia="Calibri" w:hAnsi="Times New Roman"/>
                <w:b/>
                <w:noProof w:val="0"/>
                <w:szCs w:val="24"/>
              </w:rPr>
            </w:pPr>
            <w:r w:rsidRPr="00507826">
              <w:rPr>
                <w:rFonts w:ascii="Times New Roman" w:eastAsia="Calibri" w:hAnsi="Times New Roman"/>
                <w:b/>
                <w:noProof w:val="0"/>
                <w:szCs w:val="24"/>
              </w:rPr>
              <w:t>Наименование</w:t>
            </w:r>
          </w:p>
        </w:tc>
        <w:tc>
          <w:tcPr>
            <w:tcW w:w="7229" w:type="dxa"/>
          </w:tcPr>
          <w:p w:rsidR="00C13822" w:rsidRPr="00507826" w:rsidRDefault="00C13822" w:rsidP="00C13822">
            <w:pPr>
              <w:spacing w:before="120" w:line="360" w:lineRule="exact"/>
              <w:contextualSpacing/>
              <w:rPr>
                <w:rFonts w:ascii="Times New Roman" w:eastAsia="Calibri" w:hAnsi="Times New Roman"/>
                <w:b/>
                <w:noProof w:val="0"/>
                <w:szCs w:val="24"/>
              </w:rPr>
            </w:pPr>
            <w:r w:rsidRPr="00507826">
              <w:rPr>
                <w:rFonts w:ascii="Times New Roman" w:eastAsia="Calibri" w:hAnsi="Times New Roman"/>
                <w:b/>
                <w:noProof w:val="0"/>
                <w:szCs w:val="24"/>
              </w:rPr>
              <w:t>Информация по лоту</w:t>
            </w:r>
          </w:p>
        </w:tc>
      </w:tr>
      <w:tr w:rsidR="00C13822" w:rsidRPr="009E1C95" w:rsidTr="005E6E97">
        <w:tc>
          <w:tcPr>
            <w:tcW w:w="880" w:type="dxa"/>
          </w:tcPr>
          <w:p w:rsidR="00C13822" w:rsidRPr="00507826"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2126" w:type="dxa"/>
          </w:tcPr>
          <w:p w:rsidR="00C13822" w:rsidRPr="009E1C95" w:rsidRDefault="00C13822" w:rsidP="00C13822">
            <w:pPr>
              <w:spacing w:before="120" w:line="360" w:lineRule="exact"/>
              <w:contextualSpacing/>
              <w:rPr>
                <w:rFonts w:ascii="Times New Roman" w:eastAsia="Calibri" w:hAnsi="Times New Roman"/>
                <w:noProof w:val="0"/>
                <w:szCs w:val="24"/>
              </w:rPr>
            </w:pPr>
            <w:r w:rsidRPr="009E1C95">
              <w:rPr>
                <w:rFonts w:ascii="Times New Roman" w:eastAsia="Calibri" w:hAnsi="Times New Roman"/>
                <w:noProof w:val="0"/>
                <w:szCs w:val="24"/>
              </w:rPr>
              <w:t>Наименование лота</w:t>
            </w:r>
          </w:p>
        </w:tc>
        <w:tc>
          <w:tcPr>
            <w:tcW w:w="7229" w:type="dxa"/>
          </w:tcPr>
          <w:p w:rsidR="00C13822" w:rsidRPr="009E1C95" w:rsidRDefault="00507826" w:rsidP="00123E36">
            <w:pPr>
              <w:spacing w:before="60" w:after="60" w:line="360" w:lineRule="exact"/>
              <w:rPr>
                <w:rFonts w:ascii="Times New Roman" w:eastAsia="Times New Roman" w:hAnsi="Times New Roman"/>
                <w:i/>
                <w:noProof w:val="0"/>
                <w:snapToGrid w:val="0"/>
                <w:szCs w:val="24"/>
                <w:shd w:val="clear" w:color="auto" w:fill="FFFF99"/>
                <w:lang w:eastAsia="ru-RU"/>
              </w:rPr>
            </w:pPr>
            <w:r w:rsidRPr="009E1C95">
              <w:rPr>
                <w:rFonts w:ascii="Times New Roman" w:hAnsi="Times New Roman"/>
                <w:bCs/>
                <w:szCs w:val="24"/>
              </w:rPr>
              <w:t xml:space="preserve">«ОКПД2 </w:t>
            </w:r>
            <w:r w:rsidRPr="009E1C95">
              <w:rPr>
                <w:rFonts w:ascii="Times New Roman" w:hAnsi="Times New Roman"/>
                <w:szCs w:val="24"/>
              </w:rPr>
              <w:t>43.12.11</w:t>
            </w:r>
            <w:r w:rsidRPr="009E1C95">
              <w:rPr>
                <w:rFonts w:ascii="Times New Roman" w:hAnsi="Times New Roman"/>
                <w:bCs/>
                <w:szCs w:val="24"/>
              </w:rPr>
              <w:t>. Выполнение работ по капитальному ремонту и обваловке привозным грунтом фундамента опор воздушной линии электропередач 110кВ «Новицкое-Тайфун» на территории Партизанского муниципального района СП ПЮЭС в рамках выполнения годовой программы ремонтов основных производственных фондов 2023 года для нужд филиала «ПЭС»</w:t>
            </w:r>
          </w:p>
        </w:tc>
      </w:tr>
      <w:tr w:rsidR="00C13822" w:rsidRPr="009E1C95" w:rsidTr="005E6E97">
        <w:tc>
          <w:tcPr>
            <w:tcW w:w="880" w:type="dxa"/>
          </w:tcPr>
          <w:p w:rsidR="00C13822" w:rsidRPr="009E1C95"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2126" w:type="dxa"/>
          </w:tcPr>
          <w:p w:rsidR="00C13822" w:rsidRPr="009E1C95" w:rsidRDefault="00C13822" w:rsidP="00C13822">
            <w:pPr>
              <w:spacing w:before="120" w:line="360" w:lineRule="exact"/>
              <w:contextualSpacing/>
              <w:rPr>
                <w:rFonts w:ascii="Times New Roman" w:eastAsia="Calibri" w:hAnsi="Times New Roman"/>
                <w:noProof w:val="0"/>
                <w:szCs w:val="24"/>
              </w:rPr>
            </w:pPr>
            <w:r w:rsidRPr="009E1C95">
              <w:rPr>
                <w:rFonts w:ascii="Times New Roman" w:eastAsia="Calibri" w:hAnsi="Times New Roman"/>
                <w:noProof w:val="0"/>
                <w:szCs w:val="24"/>
              </w:rPr>
              <w:t>Номер лота</w:t>
            </w:r>
          </w:p>
        </w:tc>
        <w:tc>
          <w:tcPr>
            <w:tcW w:w="7229" w:type="dxa"/>
          </w:tcPr>
          <w:p w:rsidR="00C13822" w:rsidRPr="009E1C95" w:rsidRDefault="00507826" w:rsidP="000A446B">
            <w:pPr>
              <w:spacing w:before="60" w:after="60" w:line="360" w:lineRule="exact"/>
              <w:rPr>
                <w:rFonts w:ascii="Times New Roman" w:eastAsia="Times New Roman" w:hAnsi="Times New Roman"/>
                <w:i/>
                <w:noProof w:val="0"/>
                <w:snapToGrid w:val="0"/>
                <w:szCs w:val="24"/>
                <w:shd w:val="clear" w:color="auto" w:fill="FFFF99"/>
                <w:lang w:eastAsia="ru-RU"/>
              </w:rPr>
            </w:pPr>
            <w:r w:rsidRPr="009E1C95">
              <w:rPr>
                <w:rFonts w:ascii="Times New Roman" w:hAnsi="Times New Roman"/>
                <w:i/>
                <w:szCs w:val="24"/>
              </w:rPr>
              <w:t>4104.1-РЕМ ПРОД-2023-ДРСК</w:t>
            </w:r>
          </w:p>
        </w:tc>
      </w:tr>
      <w:tr w:rsidR="005E6E97" w:rsidRPr="009E1C95" w:rsidTr="005E6E97">
        <w:tc>
          <w:tcPr>
            <w:tcW w:w="880" w:type="dxa"/>
          </w:tcPr>
          <w:p w:rsidR="005E6E97" w:rsidRPr="009E1C95" w:rsidRDefault="005E6E97" w:rsidP="005E6E97">
            <w:pPr>
              <w:numPr>
                <w:ilvl w:val="1"/>
                <w:numId w:val="7"/>
              </w:numPr>
              <w:spacing w:before="120" w:after="120" w:line="360" w:lineRule="exact"/>
              <w:ind w:left="0" w:firstLine="0"/>
              <w:contextualSpacing/>
              <w:rPr>
                <w:rFonts w:ascii="Times New Roman" w:eastAsia="Calibri" w:hAnsi="Times New Roman"/>
                <w:noProof w:val="0"/>
                <w:szCs w:val="24"/>
              </w:rPr>
            </w:pPr>
          </w:p>
        </w:tc>
        <w:tc>
          <w:tcPr>
            <w:tcW w:w="2126" w:type="dxa"/>
          </w:tcPr>
          <w:p w:rsidR="005E6E97" w:rsidRPr="009E1C95" w:rsidRDefault="005E6E97" w:rsidP="005E6E97">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Номер лота в инвестиционной программе и/или производственной программе</w:t>
            </w:r>
          </w:p>
        </w:tc>
        <w:tc>
          <w:tcPr>
            <w:tcW w:w="7229" w:type="dxa"/>
          </w:tcPr>
          <w:p w:rsidR="005E6E97" w:rsidRPr="009E1C95" w:rsidRDefault="005E6E97" w:rsidP="005E6E97">
            <w:pPr>
              <w:spacing w:before="60" w:after="60" w:line="360" w:lineRule="exact"/>
              <w:rPr>
                <w:rFonts w:ascii="Times New Roman" w:hAnsi="Times New Roman"/>
                <w:i/>
                <w:szCs w:val="24"/>
              </w:rPr>
            </w:pPr>
            <w:r w:rsidRPr="009E1C95">
              <w:rPr>
                <w:rFonts w:ascii="Times New Roman" w:hAnsi="Times New Roman"/>
                <w:i/>
                <w:szCs w:val="24"/>
              </w:rPr>
              <w:t>-</w:t>
            </w:r>
          </w:p>
        </w:tc>
      </w:tr>
      <w:tr w:rsidR="005E6E97" w:rsidRPr="009E1C95" w:rsidTr="005E6E97">
        <w:tc>
          <w:tcPr>
            <w:tcW w:w="880" w:type="dxa"/>
          </w:tcPr>
          <w:p w:rsidR="005E6E97" w:rsidRPr="009E1C95" w:rsidRDefault="005E6E97" w:rsidP="005E6E97">
            <w:pPr>
              <w:numPr>
                <w:ilvl w:val="1"/>
                <w:numId w:val="7"/>
              </w:numPr>
              <w:spacing w:before="120" w:after="120" w:line="360" w:lineRule="exact"/>
              <w:ind w:left="0" w:firstLine="0"/>
              <w:contextualSpacing/>
              <w:rPr>
                <w:rFonts w:ascii="Times New Roman" w:eastAsia="Calibri" w:hAnsi="Times New Roman"/>
                <w:noProof w:val="0"/>
                <w:szCs w:val="24"/>
              </w:rPr>
            </w:pPr>
          </w:p>
        </w:tc>
        <w:tc>
          <w:tcPr>
            <w:tcW w:w="2126" w:type="dxa"/>
          </w:tcPr>
          <w:p w:rsidR="005E6E97" w:rsidRPr="009E1C95" w:rsidRDefault="005E6E97" w:rsidP="005E6E97">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 xml:space="preserve">Закупка по лоту планируется </w:t>
            </w:r>
          </w:p>
        </w:tc>
        <w:tc>
          <w:tcPr>
            <w:tcW w:w="7229" w:type="dxa"/>
          </w:tcPr>
          <w:p w:rsidR="005E6E97" w:rsidRPr="009E1C95" w:rsidRDefault="005E6E97" w:rsidP="005E6E97">
            <w:pPr>
              <w:spacing w:before="60" w:after="60" w:line="360" w:lineRule="exact"/>
              <w:rPr>
                <w:rFonts w:ascii="Times New Roman" w:hAnsi="Times New Roman"/>
                <w:i/>
                <w:szCs w:val="24"/>
              </w:rPr>
            </w:pPr>
            <w:r w:rsidRPr="009E1C95">
              <w:rPr>
                <w:rFonts w:ascii="Times New Roman" w:hAnsi="Times New Roman"/>
                <w:i/>
                <w:szCs w:val="24"/>
              </w:rPr>
              <w:t>конкурентная</w:t>
            </w:r>
          </w:p>
        </w:tc>
      </w:tr>
      <w:tr w:rsidR="005E6E97" w:rsidRPr="009E1C95" w:rsidTr="005E6E97">
        <w:tc>
          <w:tcPr>
            <w:tcW w:w="880" w:type="dxa"/>
          </w:tcPr>
          <w:p w:rsidR="005E6E97" w:rsidRPr="009E1C95" w:rsidRDefault="005E6E97" w:rsidP="005E6E97">
            <w:pPr>
              <w:numPr>
                <w:ilvl w:val="1"/>
                <w:numId w:val="7"/>
              </w:numPr>
              <w:spacing w:before="120" w:after="120" w:line="360" w:lineRule="exact"/>
              <w:ind w:left="0" w:firstLine="0"/>
              <w:contextualSpacing/>
              <w:rPr>
                <w:rFonts w:ascii="Times New Roman" w:eastAsia="Calibri" w:hAnsi="Times New Roman"/>
                <w:noProof w:val="0"/>
                <w:szCs w:val="24"/>
              </w:rPr>
            </w:pPr>
          </w:p>
        </w:tc>
        <w:tc>
          <w:tcPr>
            <w:tcW w:w="2126" w:type="dxa"/>
          </w:tcPr>
          <w:p w:rsidR="005E6E97" w:rsidRPr="009E1C95" w:rsidRDefault="005E6E97" w:rsidP="005E6E97">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Расчет составил</w:t>
            </w:r>
          </w:p>
        </w:tc>
        <w:tc>
          <w:tcPr>
            <w:tcW w:w="7229" w:type="dxa"/>
          </w:tcPr>
          <w:p w:rsidR="005E6E97" w:rsidRPr="009E1C95" w:rsidRDefault="005E6E97" w:rsidP="005E6E97">
            <w:pPr>
              <w:spacing w:before="60" w:after="60" w:line="360" w:lineRule="exact"/>
              <w:rPr>
                <w:rFonts w:ascii="Times New Roman" w:hAnsi="Times New Roman"/>
                <w:i/>
                <w:szCs w:val="24"/>
              </w:rPr>
            </w:pPr>
            <w:r w:rsidRPr="009E1C95">
              <w:rPr>
                <w:rFonts w:ascii="Times New Roman" w:hAnsi="Times New Roman"/>
                <w:i/>
                <w:szCs w:val="24"/>
              </w:rPr>
              <w:t>-</w:t>
            </w:r>
          </w:p>
        </w:tc>
      </w:tr>
    </w:tbl>
    <w:p w:rsidR="005E6E97" w:rsidRPr="009E1C95" w:rsidRDefault="005E6E97" w:rsidP="00A42CAF">
      <w:pPr>
        <w:pStyle w:val="a9"/>
        <w:numPr>
          <w:ilvl w:val="0"/>
          <w:numId w:val="7"/>
        </w:numPr>
        <w:spacing w:after="120"/>
        <w:jc w:val="both"/>
        <w:rPr>
          <w:rFonts w:ascii="Times New Roman" w:eastAsia="Times New Roman" w:hAnsi="Times New Roman"/>
          <w:b/>
          <w:szCs w:val="24"/>
          <w:lang w:eastAsia="ru-RU"/>
        </w:rPr>
      </w:pPr>
      <w:r w:rsidRPr="009E1C95">
        <w:rPr>
          <w:rFonts w:ascii="Times New Roman" w:eastAsia="Times New Roman" w:hAnsi="Times New Roman"/>
          <w:b/>
          <w:szCs w:val="24"/>
          <w:lang w:eastAsia="ru-RU"/>
        </w:rPr>
        <w:t>Примененный метод (методы) расчета ПЦ</w:t>
      </w:r>
    </w:p>
    <w:tbl>
      <w:tblPr>
        <w:tblStyle w:val="af0"/>
        <w:tblW w:w="10235" w:type="dxa"/>
        <w:tblInd w:w="-34" w:type="dxa"/>
        <w:tblLook w:val="04A0" w:firstRow="1" w:lastRow="0" w:firstColumn="1" w:lastColumn="0" w:noHBand="0" w:noVBand="1"/>
      </w:tblPr>
      <w:tblGrid>
        <w:gridCol w:w="936"/>
        <w:gridCol w:w="4763"/>
        <w:gridCol w:w="4536"/>
      </w:tblGrid>
      <w:tr w:rsidR="005E6E97" w:rsidRPr="009E1C95" w:rsidTr="005E6E97">
        <w:tc>
          <w:tcPr>
            <w:tcW w:w="936" w:type="dxa"/>
          </w:tcPr>
          <w:p w:rsidR="005E6E97" w:rsidRPr="009E1C95" w:rsidRDefault="005E6E97" w:rsidP="00956824">
            <w:pPr>
              <w:spacing w:line="276" w:lineRule="auto"/>
              <w:contextualSpacing/>
              <w:rPr>
                <w:rFonts w:ascii="Times New Roman" w:eastAsia="Times New Roman" w:hAnsi="Times New Roman"/>
                <w:sz w:val="18"/>
                <w:szCs w:val="18"/>
                <w:lang w:eastAsia="ru-RU"/>
              </w:rPr>
            </w:pPr>
            <w:r w:rsidRPr="009E1C95">
              <w:rPr>
                <w:rFonts w:ascii="Times New Roman" w:eastAsia="Times New Roman" w:hAnsi="Times New Roman"/>
                <w:sz w:val="18"/>
                <w:szCs w:val="18"/>
                <w:lang w:eastAsia="ru-RU"/>
              </w:rPr>
              <w:t>№ п/п</w:t>
            </w:r>
          </w:p>
        </w:tc>
        <w:tc>
          <w:tcPr>
            <w:tcW w:w="9299" w:type="dxa"/>
            <w:gridSpan w:val="2"/>
          </w:tcPr>
          <w:p w:rsidR="005E6E97" w:rsidRPr="009E1C95" w:rsidRDefault="005E6E97" w:rsidP="00956824">
            <w:pPr>
              <w:spacing w:line="276" w:lineRule="auto"/>
              <w:contextualSpacing/>
              <w:rPr>
                <w:rFonts w:ascii="Times New Roman" w:eastAsia="Times New Roman" w:hAnsi="Times New Roman"/>
                <w:sz w:val="18"/>
                <w:szCs w:val="18"/>
                <w:lang w:eastAsia="ru-RU"/>
              </w:rPr>
            </w:pPr>
            <w:r w:rsidRPr="009E1C95">
              <w:rPr>
                <w:rFonts w:ascii="Times New Roman" w:eastAsia="Times New Roman" w:hAnsi="Times New Roman"/>
                <w:sz w:val="18"/>
                <w:szCs w:val="18"/>
                <w:lang w:eastAsia="ru-RU"/>
              </w:rPr>
              <w:t>Информация по лоту</w:t>
            </w:r>
          </w:p>
        </w:tc>
      </w:tr>
      <w:tr w:rsidR="005E6E97" w:rsidRPr="009E1C95" w:rsidTr="005E6E97">
        <w:tc>
          <w:tcPr>
            <w:tcW w:w="936" w:type="dxa"/>
          </w:tcPr>
          <w:p w:rsidR="005E6E97" w:rsidRPr="009E1C95" w:rsidRDefault="005E6E97" w:rsidP="00956824">
            <w:pPr>
              <w:ind w:left="360"/>
              <w:contextualSpacing/>
              <w:jc w:val="both"/>
              <w:rPr>
                <w:rFonts w:ascii="Times New Roman" w:eastAsia="Times New Roman" w:hAnsi="Times New Roman"/>
                <w:szCs w:val="24"/>
                <w:lang w:eastAsia="ru-RU"/>
              </w:rPr>
            </w:pPr>
            <w:r w:rsidRPr="009E1C95">
              <w:rPr>
                <w:rFonts w:ascii="Times New Roman" w:eastAsia="Times New Roman" w:hAnsi="Times New Roman"/>
                <w:szCs w:val="24"/>
                <w:lang w:eastAsia="ru-RU"/>
              </w:rPr>
              <w:t>2.1.</w:t>
            </w:r>
          </w:p>
        </w:tc>
        <w:tc>
          <w:tcPr>
            <w:tcW w:w="9299" w:type="dxa"/>
            <w:gridSpan w:val="2"/>
          </w:tcPr>
          <w:p w:rsidR="005E6E97" w:rsidRPr="009E1C95" w:rsidRDefault="005E6E97" w:rsidP="00A42CAF">
            <w:pPr>
              <w:spacing w:line="276" w:lineRule="auto"/>
              <w:contextualSpacing/>
              <w:rPr>
                <w:rFonts w:ascii="Times New Roman" w:eastAsia="Times New Roman" w:hAnsi="Times New Roman"/>
                <w:i/>
                <w:szCs w:val="24"/>
                <w:lang w:eastAsia="ru-RU"/>
              </w:rPr>
            </w:pPr>
            <w:r w:rsidRPr="009E1C95">
              <w:rPr>
                <w:rFonts w:ascii="Times New Roman" w:eastAsia="Times New Roman" w:hAnsi="Times New Roman"/>
                <w:b/>
                <w:szCs w:val="24"/>
                <w:lang w:eastAsia="ru-RU"/>
              </w:rPr>
              <w:t xml:space="preserve">Частная категория № 1: </w:t>
            </w:r>
            <w:r w:rsidR="00A42CAF" w:rsidRPr="009E1C95">
              <w:rPr>
                <w:rFonts w:ascii="Times New Roman" w:eastAsia="Times New Roman" w:hAnsi="Times New Roman"/>
                <w:i/>
                <w:szCs w:val="24"/>
                <w:lang w:eastAsia="ru-RU"/>
              </w:rPr>
              <w:t>К</w:t>
            </w:r>
            <w:r w:rsidRPr="009E1C95">
              <w:rPr>
                <w:rFonts w:ascii="Times New Roman" w:eastAsia="Times New Roman" w:hAnsi="Times New Roman"/>
                <w:i/>
                <w:szCs w:val="24"/>
                <w:lang w:eastAsia="ru-RU"/>
              </w:rPr>
              <w:t>апитал</w:t>
            </w:r>
            <w:r w:rsidR="00A42CAF" w:rsidRPr="009E1C95">
              <w:rPr>
                <w:rFonts w:ascii="Times New Roman" w:eastAsia="Times New Roman" w:hAnsi="Times New Roman"/>
                <w:i/>
                <w:szCs w:val="24"/>
                <w:lang w:eastAsia="ru-RU"/>
              </w:rPr>
              <w:t>ьный ремонт энергооборудования</w:t>
            </w:r>
          </w:p>
        </w:tc>
      </w:tr>
      <w:tr w:rsidR="005E6E97" w:rsidRPr="009E1C95" w:rsidTr="005E6E97">
        <w:tc>
          <w:tcPr>
            <w:tcW w:w="936" w:type="dxa"/>
          </w:tcPr>
          <w:p w:rsidR="005E6E97" w:rsidRPr="009E1C95" w:rsidRDefault="005E6E97" w:rsidP="00956824">
            <w:pPr>
              <w:ind w:left="360"/>
              <w:contextualSpacing/>
              <w:jc w:val="both"/>
              <w:rPr>
                <w:rFonts w:ascii="Times New Roman" w:eastAsia="Times New Roman" w:hAnsi="Times New Roman"/>
                <w:szCs w:val="24"/>
                <w:lang w:eastAsia="ru-RU"/>
              </w:rPr>
            </w:pPr>
            <w:r w:rsidRPr="009E1C95">
              <w:rPr>
                <w:rFonts w:ascii="Times New Roman" w:eastAsia="Times New Roman" w:hAnsi="Times New Roman"/>
                <w:szCs w:val="24"/>
                <w:lang w:eastAsia="ru-RU"/>
              </w:rPr>
              <w:t>2.2.</w:t>
            </w:r>
          </w:p>
        </w:tc>
        <w:tc>
          <w:tcPr>
            <w:tcW w:w="4763" w:type="dxa"/>
          </w:tcPr>
          <w:p w:rsidR="005E6E97" w:rsidRPr="009E1C95" w:rsidRDefault="005E6E97" w:rsidP="00956824">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Основной метод расчета ПЦ по лоту</w:t>
            </w:r>
          </w:p>
        </w:tc>
        <w:tc>
          <w:tcPr>
            <w:tcW w:w="4536" w:type="dxa"/>
          </w:tcPr>
          <w:p w:rsidR="005E6E97" w:rsidRPr="009E1C95" w:rsidRDefault="005E6E97" w:rsidP="00956824">
            <w:pPr>
              <w:spacing w:line="276" w:lineRule="auto"/>
              <w:contextualSpacing/>
              <w:rPr>
                <w:rFonts w:ascii="Times New Roman" w:eastAsia="Times New Roman" w:hAnsi="Times New Roman"/>
                <w:i/>
                <w:szCs w:val="24"/>
                <w:lang w:eastAsia="ru-RU"/>
              </w:rPr>
            </w:pPr>
            <w:r w:rsidRPr="009E1C95">
              <w:rPr>
                <w:rFonts w:ascii="Times New Roman" w:eastAsia="Times New Roman" w:hAnsi="Times New Roman"/>
                <w:i/>
                <w:szCs w:val="24"/>
                <w:lang w:eastAsia="ru-RU"/>
              </w:rPr>
              <w:t>Базисно-индексный метод</w:t>
            </w:r>
          </w:p>
        </w:tc>
      </w:tr>
      <w:tr w:rsidR="005E6E97" w:rsidRPr="009E1C95" w:rsidTr="005E6E97">
        <w:tc>
          <w:tcPr>
            <w:tcW w:w="936" w:type="dxa"/>
          </w:tcPr>
          <w:p w:rsidR="005E6E97" w:rsidRPr="009E1C95" w:rsidRDefault="005E6E97" w:rsidP="00956824">
            <w:pPr>
              <w:ind w:left="360"/>
              <w:contextualSpacing/>
              <w:jc w:val="both"/>
              <w:rPr>
                <w:rFonts w:ascii="Times New Roman" w:eastAsia="Times New Roman" w:hAnsi="Times New Roman"/>
                <w:szCs w:val="24"/>
                <w:lang w:eastAsia="ru-RU"/>
              </w:rPr>
            </w:pPr>
            <w:r w:rsidRPr="009E1C95">
              <w:rPr>
                <w:rFonts w:ascii="Times New Roman" w:eastAsia="Times New Roman" w:hAnsi="Times New Roman"/>
                <w:szCs w:val="24"/>
                <w:lang w:eastAsia="ru-RU"/>
              </w:rPr>
              <w:t>2.3.</w:t>
            </w:r>
          </w:p>
        </w:tc>
        <w:tc>
          <w:tcPr>
            <w:tcW w:w="4763" w:type="dxa"/>
          </w:tcPr>
          <w:p w:rsidR="005E6E97" w:rsidRPr="009E1C95" w:rsidRDefault="005E6E97" w:rsidP="00956824">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Проверочный метод расчета ПЦ по лоту</w:t>
            </w:r>
          </w:p>
        </w:tc>
        <w:tc>
          <w:tcPr>
            <w:tcW w:w="4536" w:type="dxa"/>
          </w:tcPr>
          <w:p w:rsidR="005E6E97" w:rsidRPr="009E1C95" w:rsidRDefault="005E6E97" w:rsidP="00956824">
            <w:pPr>
              <w:spacing w:line="276" w:lineRule="auto"/>
              <w:contextualSpacing/>
              <w:rPr>
                <w:rFonts w:ascii="Times New Roman" w:eastAsia="Times New Roman" w:hAnsi="Times New Roman"/>
                <w:i/>
                <w:szCs w:val="24"/>
                <w:lang w:eastAsia="ru-RU"/>
              </w:rPr>
            </w:pPr>
            <w:r w:rsidRPr="009E1C95">
              <w:rPr>
                <w:rFonts w:ascii="Times New Roman" w:eastAsia="Times New Roman" w:hAnsi="Times New Roman"/>
                <w:i/>
                <w:szCs w:val="24"/>
                <w:lang w:eastAsia="ru-RU"/>
              </w:rPr>
              <w:t>не применимо</w:t>
            </w:r>
          </w:p>
        </w:tc>
      </w:tr>
      <w:tr w:rsidR="005E6E97" w:rsidRPr="009E1C95" w:rsidTr="005E6E97">
        <w:tc>
          <w:tcPr>
            <w:tcW w:w="936" w:type="dxa"/>
          </w:tcPr>
          <w:p w:rsidR="005E6E97" w:rsidRPr="009E1C95" w:rsidRDefault="005E6E97" w:rsidP="00956824">
            <w:pPr>
              <w:ind w:left="360"/>
              <w:contextualSpacing/>
              <w:jc w:val="both"/>
              <w:rPr>
                <w:rFonts w:ascii="Times New Roman" w:eastAsia="Times New Roman" w:hAnsi="Times New Roman"/>
                <w:szCs w:val="24"/>
                <w:lang w:eastAsia="ru-RU"/>
              </w:rPr>
            </w:pPr>
            <w:r w:rsidRPr="009E1C95">
              <w:rPr>
                <w:rFonts w:ascii="Times New Roman" w:eastAsia="Times New Roman" w:hAnsi="Times New Roman"/>
                <w:szCs w:val="24"/>
                <w:lang w:eastAsia="ru-RU"/>
              </w:rPr>
              <w:t>2.4.</w:t>
            </w:r>
          </w:p>
        </w:tc>
        <w:tc>
          <w:tcPr>
            <w:tcW w:w="4763" w:type="dxa"/>
          </w:tcPr>
          <w:p w:rsidR="005E6E97" w:rsidRPr="009E1C95" w:rsidRDefault="005E6E97" w:rsidP="00956824">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Дополнительный метод расчета ПЦ по лоту</w:t>
            </w:r>
          </w:p>
        </w:tc>
        <w:tc>
          <w:tcPr>
            <w:tcW w:w="4536" w:type="dxa"/>
          </w:tcPr>
          <w:p w:rsidR="005E6E97" w:rsidRPr="009E1C95" w:rsidRDefault="005E6E97" w:rsidP="00956824">
            <w:pPr>
              <w:spacing w:line="276" w:lineRule="auto"/>
              <w:contextualSpacing/>
              <w:rPr>
                <w:rFonts w:ascii="Times New Roman" w:eastAsia="Times New Roman" w:hAnsi="Times New Roman"/>
                <w:i/>
                <w:szCs w:val="24"/>
                <w:lang w:eastAsia="ru-RU"/>
              </w:rPr>
            </w:pPr>
            <w:r w:rsidRPr="009E1C95">
              <w:rPr>
                <w:rFonts w:ascii="Times New Roman" w:eastAsia="Times New Roman" w:hAnsi="Times New Roman"/>
                <w:i/>
                <w:szCs w:val="24"/>
                <w:lang w:eastAsia="ru-RU"/>
              </w:rPr>
              <w:t>не применимо</w:t>
            </w:r>
          </w:p>
        </w:tc>
      </w:tr>
      <w:tr w:rsidR="005E6E97" w:rsidRPr="009E1C95" w:rsidTr="005E6E97">
        <w:tc>
          <w:tcPr>
            <w:tcW w:w="936" w:type="dxa"/>
          </w:tcPr>
          <w:p w:rsidR="005E6E97" w:rsidRPr="009E1C95" w:rsidRDefault="005E6E97" w:rsidP="00956824">
            <w:pPr>
              <w:ind w:left="360"/>
              <w:contextualSpacing/>
              <w:jc w:val="both"/>
              <w:rPr>
                <w:rFonts w:ascii="Times New Roman" w:eastAsia="Times New Roman" w:hAnsi="Times New Roman"/>
                <w:szCs w:val="24"/>
                <w:lang w:eastAsia="ru-RU"/>
              </w:rPr>
            </w:pPr>
            <w:r w:rsidRPr="009E1C95">
              <w:rPr>
                <w:rFonts w:ascii="Times New Roman" w:eastAsia="Times New Roman" w:hAnsi="Times New Roman"/>
                <w:szCs w:val="24"/>
                <w:lang w:eastAsia="ru-RU"/>
              </w:rPr>
              <w:t>2.5.</w:t>
            </w:r>
          </w:p>
        </w:tc>
        <w:tc>
          <w:tcPr>
            <w:tcW w:w="4763" w:type="dxa"/>
          </w:tcPr>
          <w:p w:rsidR="005E6E97" w:rsidRPr="009E1C95" w:rsidRDefault="005E6E97" w:rsidP="00956824">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Дата расчета (актуализации) расчета ПЦ</w:t>
            </w:r>
          </w:p>
        </w:tc>
        <w:tc>
          <w:tcPr>
            <w:tcW w:w="4536" w:type="dxa"/>
          </w:tcPr>
          <w:p w:rsidR="005E6E97" w:rsidRPr="009E1C95" w:rsidRDefault="00A42CAF" w:rsidP="00956824">
            <w:pPr>
              <w:spacing w:line="276" w:lineRule="auto"/>
              <w:contextualSpacing/>
              <w:rPr>
                <w:rFonts w:ascii="Times New Roman" w:eastAsia="Times New Roman" w:hAnsi="Times New Roman"/>
                <w:i/>
                <w:szCs w:val="24"/>
                <w:lang w:eastAsia="ru-RU"/>
              </w:rPr>
            </w:pPr>
            <w:r w:rsidRPr="009E1C95">
              <w:rPr>
                <w:rFonts w:ascii="Times New Roman" w:eastAsia="Times New Roman" w:hAnsi="Times New Roman"/>
                <w:i/>
                <w:szCs w:val="24"/>
                <w:lang w:eastAsia="ru-RU"/>
              </w:rPr>
              <w:t>05.04.2023</w:t>
            </w:r>
          </w:p>
        </w:tc>
      </w:tr>
    </w:tbl>
    <w:p w:rsidR="005E6E97" w:rsidRPr="009E1C95" w:rsidRDefault="005E6E97" w:rsidP="00A42CAF">
      <w:pPr>
        <w:numPr>
          <w:ilvl w:val="0"/>
          <w:numId w:val="7"/>
        </w:numPr>
        <w:spacing w:after="120"/>
        <w:contextualSpacing/>
        <w:jc w:val="both"/>
        <w:rPr>
          <w:rFonts w:ascii="Times New Roman" w:eastAsia="Times New Roman" w:hAnsi="Times New Roman"/>
          <w:b/>
          <w:szCs w:val="24"/>
          <w:lang w:eastAsia="ru-RU"/>
        </w:rPr>
      </w:pPr>
      <w:r w:rsidRPr="009E1C95">
        <w:rPr>
          <w:rFonts w:ascii="Times New Roman" w:eastAsia="Times New Roman" w:hAnsi="Times New Roman"/>
          <w:b/>
          <w:szCs w:val="24"/>
          <w:lang w:eastAsia="ru-RU"/>
        </w:rPr>
        <w:t>Свод ценовой информации по результатам расчета ПЦ</w:t>
      </w:r>
    </w:p>
    <w:tbl>
      <w:tblPr>
        <w:tblStyle w:val="af0"/>
        <w:tblW w:w="10235" w:type="dxa"/>
        <w:tblInd w:w="-34" w:type="dxa"/>
        <w:tblLook w:val="04A0" w:firstRow="1" w:lastRow="0" w:firstColumn="1" w:lastColumn="0" w:noHBand="0" w:noVBand="1"/>
      </w:tblPr>
      <w:tblGrid>
        <w:gridCol w:w="936"/>
        <w:gridCol w:w="4763"/>
        <w:gridCol w:w="4536"/>
      </w:tblGrid>
      <w:tr w:rsidR="005E6E97" w:rsidRPr="009E1C95" w:rsidTr="00A42CAF">
        <w:tc>
          <w:tcPr>
            <w:tcW w:w="936" w:type="dxa"/>
          </w:tcPr>
          <w:p w:rsidR="005E6E97" w:rsidRPr="009E1C95" w:rsidRDefault="005E6E97" w:rsidP="00956824">
            <w:pPr>
              <w:spacing w:line="276" w:lineRule="auto"/>
              <w:contextualSpacing/>
              <w:rPr>
                <w:rFonts w:ascii="Times New Roman" w:eastAsia="Times New Roman" w:hAnsi="Times New Roman"/>
                <w:sz w:val="18"/>
                <w:szCs w:val="18"/>
                <w:lang w:eastAsia="ru-RU"/>
              </w:rPr>
            </w:pPr>
            <w:r w:rsidRPr="009E1C95">
              <w:rPr>
                <w:rFonts w:ascii="Times New Roman" w:eastAsia="Times New Roman" w:hAnsi="Times New Roman"/>
                <w:sz w:val="18"/>
                <w:szCs w:val="18"/>
                <w:lang w:eastAsia="ru-RU"/>
              </w:rPr>
              <w:t>№ п/п</w:t>
            </w:r>
          </w:p>
        </w:tc>
        <w:tc>
          <w:tcPr>
            <w:tcW w:w="4763" w:type="dxa"/>
          </w:tcPr>
          <w:p w:rsidR="005E6E97" w:rsidRPr="009E1C95" w:rsidRDefault="005E6E97" w:rsidP="00956824">
            <w:pPr>
              <w:spacing w:line="276" w:lineRule="auto"/>
              <w:contextualSpacing/>
              <w:rPr>
                <w:rFonts w:ascii="Times New Roman" w:eastAsia="Times New Roman" w:hAnsi="Times New Roman"/>
                <w:sz w:val="18"/>
                <w:szCs w:val="18"/>
                <w:lang w:eastAsia="ru-RU"/>
              </w:rPr>
            </w:pPr>
            <w:r w:rsidRPr="009E1C95">
              <w:rPr>
                <w:rFonts w:ascii="Times New Roman" w:eastAsia="Times New Roman" w:hAnsi="Times New Roman"/>
                <w:sz w:val="18"/>
                <w:szCs w:val="18"/>
                <w:lang w:eastAsia="ru-RU"/>
              </w:rPr>
              <w:t>Наименование</w:t>
            </w:r>
          </w:p>
        </w:tc>
        <w:tc>
          <w:tcPr>
            <w:tcW w:w="4536" w:type="dxa"/>
          </w:tcPr>
          <w:p w:rsidR="005E6E97" w:rsidRPr="009E1C95" w:rsidRDefault="005E6E97" w:rsidP="00956824">
            <w:pPr>
              <w:spacing w:line="276" w:lineRule="auto"/>
              <w:contextualSpacing/>
              <w:rPr>
                <w:rFonts w:ascii="Times New Roman" w:eastAsia="Times New Roman" w:hAnsi="Times New Roman"/>
                <w:sz w:val="18"/>
                <w:szCs w:val="18"/>
                <w:lang w:eastAsia="ru-RU"/>
              </w:rPr>
            </w:pPr>
            <w:r w:rsidRPr="009E1C95">
              <w:rPr>
                <w:rFonts w:ascii="Times New Roman" w:eastAsia="Times New Roman" w:hAnsi="Times New Roman"/>
                <w:sz w:val="18"/>
                <w:szCs w:val="18"/>
                <w:lang w:eastAsia="ru-RU"/>
              </w:rPr>
              <w:t>Информация по лоту</w:t>
            </w:r>
          </w:p>
        </w:tc>
      </w:tr>
      <w:tr w:rsidR="005E6E97" w:rsidRPr="009E1C95" w:rsidTr="00A42CAF">
        <w:trPr>
          <w:trHeight w:val="339"/>
        </w:trPr>
        <w:tc>
          <w:tcPr>
            <w:tcW w:w="936" w:type="dxa"/>
          </w:tcPr>
          <w:p w:rsidR="005E6E97" w:rsidRPr="009E1C95" w:rsidRDefault="005E6E97" w:rsidP="00956824">
            <w:pPr>
              <w:ind w:left="360"/>
              <w:contextualSpacing/>
              <w:jc w:val="both"/>
              <w:rPr>
                <w:rFonts w:ascii="Times New Roman" w:eastAsia="Times New Roman" w:hAnsi="Times New Roman"/>
                <w:szCs w:val="24"/>
                <w:lang w:eastAsia="ru-RU"/>
              </w:rPr>
            </w:pPr>
            <w:bookmarkStart w:id="0" w:name="_GoBack" w:colFirst="2" w:colLast="2"/>
            <w:r w:rsidRPr="009E1C95">
              <w:rPr>
                <w:rFonts w:ascii="Times New Roman" w:eastAsia="Times New Roman" w:hAnsi="Times New Roman"/>
                <w:szCs w:val="24"/>
                <w:lang w:eastAsia="ru-RU"/>
              </w:rPr>
              <w:t>3.1.</w:t>
            </w:r>
          </w:p>
        </w:tc>
        <w:tc>
          <w:tcPr>
            <w:tcW w:w="4763" w:type="dxa"/>
          </w:tcPr>
          <w:p w:rsidR="005E6E97" w:rsidRPr="009E1C95" w:rsidRDefault="005E6E97" w:rsidP="00956824">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 xml:space="preserve">ПЦ, полученная основным способом </w:t>
            </w:r>
          </w:p>
        </w:tc>
        <w:tc>
          <w:tcPr>
            <w:tcW w:w="4536" w:type="dxa"/>
          </w:tcPr>
          <w:p w:rsidR="005E6E97" w:rsidRPr="009E1C95" w:rsidRDefault="005E6E97" w:rsidP="00956824">
            <w:pPr>
              <w:spacing w:line="276" w:lineRule="auto"/>
              <w:contextualSpacing/>
              <w:rPr>
                <w:rFonts w:ascii="Times New Roman" w:eastAsia="Times New Roman" w:hAnsi="Times New Roman"/>
                <w:i/>
                <w:szCs w:val="24"/>
                <w:lang w:eastAsia="ru-RU"/>
              </w:rPr>
            </w:pPr>
            <w:r w:rsidRPr="009E1C95">
              <w:rPr>
                <w:rFonts w:ascii="Times New Roman" w:eastAsia="Times New Roman" w:hAnsi="Times New Roman"/>
                <w:i/>
                <w:szCs w:val="24"/>
                <w:lang w:eastAsia="ru-RU"/>
              </w:rPr>
              <w:t>12 034 620,47 рублей</w:t>
            </w:r>
          </w:p>
        </w:tc>
      </w:tr>
      <w:tr w:rsidR="005E6E97" w:rsidRPr="009E1C95" w:rsidTr="00A42CAF">
        <w:tc>
          <w:tcPr>
            <w:tcW w:w="936" w:type="dxa"/>
          </w:tcPr>
          <w:p w:rsidR="005E6E97" w:rsidRPr="009E1C95" w:rsidRDefault="005E6E97" w:rsidP="00956824">
            <w:pPr>
              <w:ind w:left="360"/>
              <w:contextualSpacing/>
              <w:jc w:val="both"/>
              <w:rPr>
                <w:rFonts w:ascii="Times New Roman" w:eastAsia="Times New Roman" w:hAnsi="Times New Roman"/>
                <w:szCs w:val="24"/>
                <w:lang w:eastAsia="ru-RU"/>
              </w:rPr>
            </w:pPr>
            <w:r w:rsidRPr="009E1C95">
              <w:rPr>
                <w:rFonts w:ascii="Times New Roman" w:eastAsia="Times New Roman" w:hAnsi="Times New Roman"/>
                <w:szCs w:val="24"/>
                <w:lang w:eastAsia="ru-RU"/>
              </w:rPr>
              <w:t>3.2.</w:t>
            </w:r>
          </w:p>
        </w:tc>
        <w:tc>
          <w:tcPr>
            <w:tcW w:w="4763" w:type="dxa"/>
          </w:tcPr>
          <w:p w:rsidR="005E6E97" w:rsidRPr="009E1C95" w:rsidRDefault="005E6E97" w:rsidP="00956824">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 xml:space="preserve">ПЦ, полученная проверочным способом </w:t>
            </w:r>
          </w:p>
        </w:tc>
        <w:tc>
          <w:tcPr>
            <w:tcW w:w="4536" w:type="dxa"/>
          </w:tcPr>
          <w:p w:rsidR="005E6E97" w:rsidRPr="009E1C95" w:rsidRDefault="005E6E97" w:rsidP="00956824">
            <w:pPr>
              <w:spacing w:line="276" w:lineRule="auto"/>
              <w:contextualSpacing/>
              <w:rPr>
                <w:rFonts w:ascii="Times New Roman" w:eastAsia="Times New Roman" w:hAnsi="Times New Roman"/>
                <w:i/>
                <w:szCs w:val="24"/>
                <w:lang w:eastAsia="ru-RU"/>
              </w:rPr>
            </w:pPr>
            <w:r w:rsidRPr="009E1C95">
              <w:rPr>
                <w:rFonts w:ascii="Times New Roman" w:eastAsia="Times New Roman" w:hAnsi="Times New Roman"/>
                <w:i/>
                <w:szCs w:val="24"/>
                <w:lang w:eastAsia="ru-RU"/>
              </w:rPr>
              <w:t>не применимо</w:t>
            </w:r>
          </w:p>
        </w:tc>
      </w:tr>
      <w:tr w:rsidR="005E6E97" w:rsidRPr="009E1C95" w:rsidTr="00A42CAF">
        <w:tc>
          <w:tcPr>
            <w:tcW w:w="936" w:type="dxa"/>
          </w:tcPr>
          <w:p w:rsidR="005E6E97" w:rsidRPr="009E1C95" w:rsidRDefault="005E6E97" w:rsidP="00956824">
            <w:pPr>
              <w:ind w:left="360"/>
              <w:contextualSpacing/>
              <w:jc w:val="both"/>
              <w:rPr>
                <w:rFonts w:ascii="Times New Roman" w:eastAsia="Times New Roman" w:hAnsi="Times New Roman"/>
                <w:szCs w:val="24"/>
                <w:lang w:eastAsia="ru-RU"/>
              </w:rPr>
            </w:pPr>
            <w:r w:rsidRPr="009E1C95">
              <w:rPr>
                <w:rFonts w:ascii="Times New Roman" w:eastAsia="Times New Roman" w:hAnsi="Times New Roman"/>
                <w:szCs w:val="24"/>
                <w:lang w:eastAsia="ru-RU"/>
              </w:rPr>
              <w:t>3.3.</w:t>
            </w:r>
          </w:p>
        </w:tc>
        <w:tc>
          <w:tcPr>
            <w:tcW w:w="4763" w:type="dxa"/>
          </w:tcPr>
          <w:p w:rsidR="005E6E97" w:rsidRPr="009E1C95" w:rsidRDefault="005E6E97" w:rsidP="00956824">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 xml:space="preserve">ПЦ, полученная дополнительным способом </w:t>
            </w:r>
          </w:p>
        </w:tc>
        <w:tc>
          <w:tcPr>
            <w:tcW w:w="4536" w:type="dxa"/>
          </w:tcPr>
          <w:p w:rsidR="005E6E97" w:rsidRPr="009E1C95" w:rsidRDefault="005E6E97" w:rsidP="00956824">
            <w:pPr>
              <w:spacing w:line="276" w:lineRule="auto"/>
              <w:contextualSpacing/>
              <w:rPr>
                <w:rFonts w:ascii="Times New Roman" w:eastAsia="Times New Roman" w:hAnsi="Times New Roman"/>
                <w:i/>
                <w:szCs w:val="24"/>
                <w:lang w:eastAsia="ru-RU"/>
              </w:rPr>
            </w:pPr>
            <w:r w:rsidRPr="009E1C95">
              <w:rPr>
                <w:rFonts w:ascii="Times New Roman" w:eastAsia="Times New Roman" w:hAnsi="Times New Roman"/>
                <w:i/>
                <w:szCs w:val="24"/>
                <w:lang w:eastAsia="ru-RU"/>
              </w:rPr>
              <w:t>не применимо</w:t>
            </w:r>
          </w:p>
        </w:tc>
      </w:tr>
      <w:tr w:rsidR="005E6E97" w:rsidRPr="009E1C95" w:rsidTr="00A42CAF">
        <w:tc>
          <w:tcPr>
            <w:tcW w:w="936" w:type="dxa"/>
          </w:tcPr>
          <w:p w:rsidR="005E6E97" w:rsidRPr="009E1C95" w:rsidRDefault="005E6E97" w:rsidP="00956824">
            <w:pPr>
              <w:ind w:left="360"/>
              <w:contextualSpacing/>
              <w:jc w:val="both"/>
              <w:rPr>
                <w:rFonts w:ascii="Times New Roman" w:eastAsia="Times New Roman" w:hAnsi="Times New Roman"/>
                <w:szCs w:val="24"/>
                <w:lang w:eastAsia="ru-RU"/>
              </w:rPr>
            </w:pPr>
            <w:r w:rsidRPr="009E1C95">
              <w:rPr>
                <w:rFonts w:ascii="Times New Roman" w:eastAsia="Times New Roman" w:hAnsi="Times New Roman"/>
                <w:szCs w:val="24"/>
                <w:lang w:eastAsia="ru-RU"/>
              </w:rPr>
              <w:t>3.4.</w:t>
            </w:r>
          </w:p>
        </w:tc>
        <w:tc>
          <w:tcPr>
            <w:tcW w:w="4763" w:type="dxa"/>
          </w:tcPr>
          <w:p w:rsidR="005E6E97" w:rsidRPr="009E1C95" w:rsidRDefault="005E6E97" w:rsidP="00956824">
            <w:pPr>
              <w:spacing w:line="276" w:lineRule="auto"/>
              <w:contextualSpacing/>
              <w:rPr>
                <w:rFonts w:ascii="Times New Roman" w:eastAsia="Times New Roman" w:hAnsi="Times New Roman"/>
                <w:szCs w:val="24"/>
                <w:lang w:eastAsia="ru-RU"/>
              </w:rPr>
            </w:pPr>
            <w:r w:rsidRPr="009E1C95">
              <w:rPr>
                <w:rFonts w:ascii="Times New Roman" w:eastAsia="Times New Roman" w:hAnsi="Times New Roman"/>
                <w:szCs w:val="24"/>
                <w:lang w:eastAsia="ru-RU"/>
              </w:rPr>
              <w:t>Итоговая ПЦ</w:t>
            </w:r>
          </w:p>
        </w:tc>
        <w:tc>
          <w:tcPr>
            <w:tcW w:w="4536" w:type="dxa"/>
          </w:tcPr>
          <w:p w:rsidR="005E6E97" w:rsidRPr="009E1C95" w:rsidRDefault="005E6E97" w:rsidP="00956824">
            <w:pPr>
              <w:spacing w:line="276" w:lineRule="auto"/>
              <w:contextualSpacing/>
              <w:rPr>
                <w:rFonts w:ascii="Times New Roman" w:eastAsia="Times New Roman" w:hAnsi="Times New Roman"/>
                <w:i/>
                <w:szCs w:val="24"/>
                <w:lang w:eastAsia="ru-RU"/>
              </w:rPr>
            </w:pPr>
            <w:r w:rsidRPr="009E1C95">
              <w:rPr>
                <w:rFonts w:ascii="Times New Roman" w:eastAsia="Times New Roman" w:hAnsi="Times New Roman"/>
                <w:i/>
                <w:szCs w:val="24"/>
                <w:lang w:eastAsia="ru-RU"/>
              </w:rPr>
              <w:t>12 034 620,47 рублей</w:t>
            </w:r>
          </w:p>
        </w:tc>
      </w:tr>
    </w:tbl>
    <w:bookmarkEnd w:id="0"/>
    <w:p w:rsidR="005E6E97" w:rsidRPr="009E1C95" w:rsidRDefault="005E6E97" w:rsidP="005E6E97">
      <w:pPr>
        <w:jc w:val="both"/>
        <w:rPr>
          <w:rFonts w:ascii="Times New Roman" w:eastAsia="Times New Roman" w:hAnsi="Times New Roman"/>
          <w:b/>
          <w:szCs w:val="24"/>
          <w:lang w:eastAsia="ru-RU"/>
        </w:rPr>
      </w:pPr>
      <w:r w:rsidRPr="009E1C95">
        <w:rPr>
          <w:rFonts w:ascii="Times New Roman" w:eastAsia="Times New Roman" w:hAnsi="Times New Roman"/>
          <w:b/>
          <w:szCs w:val="24"/>
          <w:lang w:eastAsia="ru-RU"/>
        </w:rPr>
        <w:t>Приложения:</w:t>
      </w:r>
    </w:p>
    <w:p w:rsidR="00C13822" w:rsidRPr="005E6E97" w:rsidRDefault="005E6E97" w:rsidP="005E6E97">
      <w:pPr>
        <w:spacing w:line="276" w:lineRule="auto"/>
        <w:contextualSpacing/>
        <w:jc w:val="both"/>
        <w:rPr>
          <w:rFonts w:ascii="Times New Roman" w:eastAsia="Times New Roman" w:hAnsi="Times New Roman"/>
          <w:i/>
          <w:szCs w:val="24"/>
          <w:lang w:eastAsia="ru-RU"/>
        </w:rPr>
      </w:pPr>
      <w:r w:rsidRPr="009E1C95">
        <w:rPr>
          <w:rFonts w:ascii="Times New Roman" w:eastAsia="Times New Roman" w:hAnsi="Times New Roman"/>
          <w:szCs w:val="24"/>
          <w:lang w:eastAsia="ru-RU"/>
        </w:rPr>
        <w:t>Общий расчет ПЦ: Приложение 4 к Техническим требованиям на выполнение работ «</w:t>
      </w:r>
      <w:r w:rsidRPr="009E1C95">
        <w:rPr>
          <w:rFonts w:ascii="Times New Roman" w:hAnsi="Times New Roman"/>
          <w:bCs/>
          <w:szCs w:val="24"/>
        </w:rPr>
        <w:t xml:space="preserve">ОКПД2 </w:t>
      </w:r>
      <w:r w:rsidRPr="009E1C95">
        <w:rPr>
          <w:rFonts w:ascii="Times New Roman" w:hAnsi="Times New Roman"/>
          <w:szCs w:val="24"/>
        </w:rPr>
        <w:t>43.12.11</w:t>
      </w:r>
      <w:r w:rsidRPr="009E1C95">
        <w:rPr>
          <w:rFonts w:ascii="Times New Roman" w:hAnsi="Times New Roman"/>
          <w:bCs/>
          <w:szCs w:val="24"/>
        </w:rPr>
        <w:t>. Выполнение работ по капитальному ремонту и обваловке привозным грунтом фундамента опор воздушной линии электропередач 110кВ «Новицкое-Тайфун» на территории Партизанского муниципального района СП ПЮЭС в рамках</w:t>
      </w:r>
      <w:r w:rsidRPr="00507826">
        <w:rPr>
          <w:rFonts w:ascii="Times New Roman" w:hAnsi="Times New Roman"/>
          <w:bCs/>
          <w:szCs w:val="24"/>
        </w:rPr>
        <w:t xml:space="preserve"> выполнения годовой программы ремонтов основных производственных фондов 2023 года для нужд филиала «ПЭС»</w:t>
      </w:r>
      <w:r w:rsidRPr="002E2FFF">
        <w:rPr>
          <w:rFonts w:ascii="Times New Roman" w:eastAsia="Times New Roman" w:hAnsi="Times New Roman"/>
          <w:i/>
          <w:szCs w:val="24"/>
          <w:lang w:eastAsia="ru-RU"/>
        </w:rPr>
        <w:t xml:space="preserve"> </w:t>
      </w:r>
      <w:r w:rsidRPr="002E2FFF">
        <w:rPr>
          <w:rFonts w:ascii="Times New Roman" w:eastAsia="Times New Roman" w:hAnsi="Times New Roman"/>
          <w:szCs w:val="24"/>
          <w:lang w:eastAsia="ru-RU"/>
        </w:rPr>
        <w:t xml:space="preserve">Лот № </w:t>
      </w:r>
      <w:r w:rsidRPr="00E756FD">
        <w:rPr>
          <w:rFonts w:ascii="Times New Roman" w:hAnsi="Times New Roman"/>
          <w:i/>
          <w:szCs w:val="24"/>
        </w:rPr>
        <w:t>410</w:t>
      </w:r>
      <w:r>
        <w:rPr>
          <w:rFonts w:ascii="Times New Roman" w:hAnsi="Times New Roman"/>
          <w:i/>
          <w:szCs w:val="24"/>
        </w:rPr>
        <w:t>4</w:t>
      </w:r>
      <w:r w:rsidRPr="00E756FD">
        <w:rPr>
          <w:rFonts w:ascii="Times New Roman" w:hAnsi="Times New Roman"/>
          <w:i/>
          <w:szCs w:val="24"/>
        </w:rPr>
        <w:t>.1-РЕМ ПРОД-2023-ДРСК</w:t>
      </w:r>
    </w:p>
    <w:sectPr w:rsidR="00C13822" w:rsidRPr="005E6E97" w:rsidSect="005E6E97">
      <w:headerReference w:type="even" r:id="rId8"/>
      <w:headerReference w:type="default" r:id="rId9"/>
      <w:pgSz w:w="11906" w:h="16838"/>
      <w:pgMar w:top="568" w:right="709" w:bottom="1134" w:left="1134"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869" w:rsidRDefault="00344869">
      <w:r>
        <w:separator/>
      </w:r>
    </w:p>
  </w:endnote>
  <w:endnote w:type="continuationSeparator" w:id="0">
    <w:p w:rsidR="00344869" w:rsidRDefault="00344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869" w:rsidRDefault="00344869">
      <w:r>
        <w:separator/>
      </w:r>
    </w:p>
  </w:footnote>
  <w:footnote w:type="continuationSeparator" w:id="0">
    <w:p w:rsidR="00344869" w:rsidRDefault="00344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5E6E97">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0D63399E"/>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4"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3"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6"/>
  </w:num>
  <w:num w:numId="3">
    <w:abstractNumId w:val="12"/>
  </w:num>
  <w:num w:numId="4">
    <w:abstractNumId w:val="4"/>
  </w:num>
  <w:num w:numId="5">
    <w:abstractNumId w:val="0"/>
  </w:num>
  <w:num w:numId="6">
    <w:abstractNumId w:val="10"/>
  </w:num>
  <w:num w:numId="7">
    <w:abstractNumId w:val="7"/>
  </w:num>
  <w:num w:numId="8">
    <w:abstractNumId w:val="8"/>
  </w:num>
  <w:num w:numId="9">
    <w:abstractNumId w:val="9"/>
  </w:num>
  <w:num w:numId="10">
    <w:abstractNumId w:val="15"/>
  </w:num>
  <w:num w:numId="11">
    <w:abstractNumId w:val="3"/>
  </w:num>
  <w:num w:numId="12">
    <w:abstractNumId w:val="6"/>
  </w:num>
  <w:num w:numId="13">
    <w:abstractNumId w:val="1"/>
  </w:num>
  <w:num w:numId="14">
    <w:abstractNumId w:val="13"/>
  </w:num>
  <w:num w:numId="15">
    <w:abstractNumId w:val="14"/>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A446B"/>
    <w:rsid w:val="000B56DF"/>
    <w:rsid w:val="000C16BF"/>
    <w:rsid w:val="000E0F40"/>
    <w:rsid w:val="000E7187"/>
    <w:rsid w:val="000F21ED"/>
    <w:rsid w:val="00104B16"/>
    <w:rsid w:val="00105183"/>
    <w:rsid w:val="00111D3D"/>
    <w:rsid w:val="001225B1"/>
    <w:rsid w:val="00123E36"/>
    <w:rsid w:val="00127B64"/>
    <w:rsid w:val="0017740A"/>
    <w:rsid w:val="00191155"/>
    <w:rsid w:val="001A7777"/>
    <w:rsid w:val="001D117F"/>
    <w:rsid w:val="001E2CE9"/>
    <w:rsid w:val="001F2571"/>
    <w:rsid w:val="00203E1D"/>
    <w:rsid w:val="002041E1"/>
    <w:rsid w:val="00205AC9"/>
    <w:rsid w:val="00206A95"/>
    <w:rsid w:val="00220E4B"/>
    <w:rsid w:val="002373D7"/>
    <w:rsid w:val="00242305"/>
    <w:rsid w:val="00243C89"/>
    <w:rsid w:val="00243DD0"/>
    <w:rsid w:val="00257933"/>
    <w:rsid w:val="00265837"/>
    <w:rsid w:val="002B3A8E"/>
    <w:rsid w:val="002B6ADB"/>
    <w:rsid w:val="00304CA3"/>
    <w:rsid w:val="00317A4D"/>
    <w:rsid w:val="003255D6"/>
    <w:rsid w:val="00336344"/>
    <w:rsid w:val="00344869"/>
    <w:rsid w:val="0035676E"/>
    <w:rsid w:val="003614C4"/>
    <w:rsid w:val="003619CB"/>
    <w:rsid w:val="0036656B"/>
    <w:rsid w:val="003805A9"/>
    <w:rsid w:val="003A15E7"/>
    <w:rsid w:val="003C4F50"/>
    <w:rsid w:val="00415278"/>
    <w:rsid w:val="00457B4B"/>
    <w:rsid w:val="0049024A"/>
    <w:rsid w:val="004B06F0"/>
    <w:rsid w:val="004E464F"/>
    <w:rsid w:val="004E52CC"/>
    <w:rsid w:val="004F4D81"/>
    <w:rsid w:val="004F78BF"/>
    <w:rsid w:val="00507826"/>
    <w:rsid w:val="00510C31"/>
    <w:rsid w:val="005158A2"/>
    <w:rsid w:val="00545AC0"/>
    <w:rsid w:val="00547319"/>
    <w:rsid w:val="005518AE"/>
    <w:rsid w:val="00570020"/>
    <w:rsid w:val="00585529"/>
    <w:rsid w:val="005A188F"/>
    <w:rsid w:val="005A41DC"/>
    <w:rsid w:val="005E08C5"/>
    <w:rsid w:val="005E6E97"/>
    <w:rsid w:val="005F30B7"/>
    <w:rsid w:val="006045C9"/>
    <w:rsid w:val="00620E96"/>
    <w:rsid w:val="00632222"/>
    <w:rsid w:val="00680FD6"/>
    <w:rsid w:val="006B7434"/>
    <w:rsid w:val="006E6DE3"/>
    <w:rsid w:val="006F668B"/>
    <w:rsid w:val="00734ABD"/>
    <w:rsid w:val="00744264"/>
    <w:rsid w:val="00746529"/>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1C95"/>
    <w:rsid w:val="009E568D"/>
    <w:rsid w:val="009E590A"/>
    <w:rsid w:val="00A05C46"/>
    <w:rsid w:val="00A1144F"/>
    <w:rsid w:val="00A215B2"/>
    <w:rsid w:val="00A4061B"/>
    <w:rsid w:val="00A42CAF"/>
    <w:rsid w:val="00A4619C"/>
    <w:rsid w:val="00A509C8"/>
    <w:rsid w:val="00A52F75"/>
    <w:rsid w:val="00A832BB"/>
    <w:rsid w:val="00AA1C20"/>
    <w:rsid w:val="00AB0475"/>
    <w:rsid w:val="00AC0D4C"/>
    <w:rsid w:val="00AE6C7E"/>
    <w:rsid w:val="00B035EE"/>
    <w:rsid w:val="00B05ABF"/>
    <w:rsid w:val="00B10C99"/>
    <w:rsid w:val="00B264AF"/>
    <w:rsid w:val="00B40238"/>
    <w:rsid w:val="00B4410A"/>
    <w:rsid w:val="00B443AC"/>
    <w:rsid w:val="00B5058B"/>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70F46"/>
    <w:rsid w:val="00C83C49"/>
    <w:rsid w:val="00C86377"/>
    <w:rsid w:val="00CC33EC"/>
    <w:rsid w:val="00CC4CB5"/>
    <w:rsid w:val="00CC619E"/>
    <w:rsid w:val="00CF4A78"/>
    <w:rsid w:val="00D002CA"/>
    <w:rsid w:val="00D00EA5"/>
    <w:rsid w:val="00D41DF7"/>
    <w:rsid w:val="00D475C4"/>
    <w:rsid w:val="00D6795A"/>
    <w:rsid w:val="00D81FA3"/>
    <w:rsid w:val="00DB6785"/>
    <w:rsid w:val="00DE30DF"/>
    <w:rsid w:val="00DE3F5B"/>
    <w:rsid w:val="00DE7684"/>
    <w:rsid w:val="00DF4D67"/>
    <w:rsid w:val="00E15367"/>
    <w:rsid w:val="00E367B2"/>
    <w:rsid w:val="00E46755"/>
    <w:rsid w:val="00E52742"/>
    <w:rsid w:val="00E72273"/>
    <w:rsid w:val="00E73085"/>
    <w:rsid w:val="00E821AF"/>
    <w:rsid w:val="00E90A07"/>
    <w:rsid w:val="00EA5E21"/>
    <w:rsid w:val="00EC7B65"/>
    <w:rsid w:val="00ED73B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37E04-1067-472D-BAF8-94B9A56BE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270</Words>
  <Characters>1545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26</cp:revision>
  <cp:lastPrinted>2021-07-02T09:19:00Z</cp:lastPrinted>
  <dcterms:created xsi:type="dcterms:W3CDTF">2021-07-05T12:53:00Z</dcterms:created>
  <dcterms:modified xsi:type="dcterms:W3CDTF">2023-05-17T07:07:00Z</dcterms:modified>
</cp:coreProperties>
</file>